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KONYA GIDA VE TARIM ÜNİVERSİTESİ</w:t>
      </w:r>
    </w:p>
    <w:p>
      <w:pPr>
        <w:jc w:val="center"/>
      </w:pPr>
      <w:r>
        <w:rPr>
          <w:b/>
          <w:sz w:val="26"/>
        </w:rPr>
        <w:t>KURUMSAL POLİTİKALARIN BİRLEŞMİŞ MİLLETLER</w:t>
        <w:br/>
        <w:t>SÜRDÜRÜLEBİLİR KALKINMA AMAÇLARI İLE UYUMUNUN DEĞERLENDİRİLMESİ RAPORU</w:t>
      </w:r>
    </w:p>
    <w:p>
      <w:r>
        <w:rPr>
          <w:b/>
          <w:sz w:val="23"/>
        </w:rPr>
        <w:t>1. Amaç ve Kapsam</w:t>
      </w:r>
    </w:p>
    <w:p>
      <w:r>
        <w:t>Bu rapor, Konya Gıda ve Tarım Üniversitesinin Kalite, Eğitim-Öğretim, Araştırma-Geliştirme, Toplumsal Katkı, Uluslararasılaşma ve Uzaktan Eğitim politikalarının Birleşmiş Milletler 2030 Sürdürülebilir Kalkınma Gündemi kapsamında tanımlanan Sürdürülebilir Kalkınma Amaçları (SKA) ile ilişkisini değerlendirmek amacıyla hazırlanmıştır. Değerlendirme, politika metinlerinde açıkça yer alan amaç, ilke ve taahhütler esas alınarak yapılmış; politika metninin desteklemediği alanlarda zorlayıcı eşleştirmeden kaçınılmıştır.</w:t>
      </w:r>
    </w:p>
    <w:p>
      <w:r>
        <w:rPr>
          <w:b/>
          <w:sz w:val="23"/>
        </w:rPr>
        <w:t>2. Yöntem</w:t>
      </w:r>
    </w:p>
    <w:p>
      <w:r>
        <w:t>Her bir politika metnindeki temel taahhütler incelenmiş; bu taahhütlerin doğrudan veya güçlü biçimde ilişkilendirilebildiği SKA'lar ve uygun olduğu ölçüde alt hedefler belirlenmiştir. Eşleştirme sonuçları ayrıntılı olarak “KGTÜ Kurumsal Politikalar–BM SKA Eşleştirme Matrisi”nde gösterilmiştir. Bu rapor, söz konusu matrisin kurumsal düzeyde değerlendirilmesi niteliğindedir.</w:t>
      </w:r>
    </w:p>
    <w:p>
      <w:r>
        <w:rPr>
          <w:b/>
          <w:sz w:val="23"/>
        </w:rPr>
        <w:t>3. Politika Bazında Değerlendirme</w:t>
      </w:r>
    </w:p>
    <w:p>
      <w:pPr>
        <w:ind w:left="227"/>
      </w:pPr>
      <w:r>
        <w:rPr>
          <w:b/>
        </w:rPr>
        <w:t xml:space="preserve">Kalite Politikası: </w:t>
      </w:r>
      <w:r>
        <w:t>Politikada sürdürülebilir doğa, doğa dostu tarım, güvenilir gıda, teknolojik etkinlik, bilimsel gelişme ve paydaşlara kalite kültürünün yaygınlaştırılması vurgulanmaktadır. Bu yaklaşım özellikle SKA 2 (Açlığa Son), SKA 9 (Sanayi, Yenilikçilik ve Altyapı), SKA 12 (Sorumlu Üretim ve Tüketim) ve SKA 17 (Amaçlar için Ortaklıklar) ile ilişkilidir.</w:t>
      </w:r>
    </w:p>
    <w:p>
      <w:pPr>
        <w:ind w:left="227"/>
      </w:pPr>
      <w:r>
        <w:rPr>
          <w:b/>
        </w:rPr>
        <w:t xml:space="preserve">Eğitim-Öğretim Politikası: </w:t>
      </w:r>
      <w:r>
        <w:t>Öğrenci merkezli eğitim, mesleki ve sosyal becerilerin geliştirilmesi, eğitim olanaklarının etkin ve verimli sunulması, paydaş görüşlerinin dikkate alınması, disiplinlerarası yaklaşım, girişimcilik, yenilikçilik ve sosyal sorumluluk vurguları başta SKA 4 (Nitelikli Eğitim) olmak üzere SKA 8, SKA 9 ve SKA 17 ile güçlü uyum göstermektedir.</w:t>
      </w:r>
    </w:p>
    <w:p>
      <w:pPr>
        <w:ind w:left="227"/>
      </w:pPr>
      <w:r>
        <w:rPr>
          <w:b/>
        </w:rPr>
        <w:t xml:space="preserve">Araştırma-Geliştirme Politikası: </w:t>
      </w:r>
      <w:r>
        <w:t>Ar-Ge süreçlerine aktif katılım, kamu ve özel sektör iş birlikleri, ulusal ve uluslararası projeler, disiplinlerarası araştırma, teknolojik ve ekonomik kalkınma, yenilikçilik ve bilginin ürüne dönüştürülmesi yaklaşımı özellikle SKA 8, SKA 9 ve SKA 17 ile doğrudan ilişkilidir.</w:t>
      </w:r>
    </w:p>
    <w:p>
      <w:pPr>
        <w:ind w:left="227"/>
      </w:pPr>
      <w:r>
        <w:rPr>
          <w:b/>
        </w:rPr>
        <w:t xml:space="preserve">Toplumsal Katkı Politikası: </w:t>
      </w:r>
      <w:r>
        <w:t>Sosyal sorumluluk, kapsayıcılık, çevresel ve kültürel duyarlılık, toplumun ihtiyaç ve beklentilerinin önceliklendirilmesi, sürdürülebilir toplumsal gelişme ve hayat boyu öğrenme ilkeleri SKA 4, SKA 10, SKA 11, SKA 12 ve SKA 15 başta olmak üzere sosyal ve çevresel sürdürülebilirlik boyutlarıyla ilişkilidir.</w:t>
      </w:r>
    </w:p>
    <w:p>
      <w:pPr>
        <w:ind w:left="227"/>
      </w:pPr>
      <w:r>
        <w:rPr>
          <w:b/>
        </w:rPr>
        <w:t xml:space="preserve">Uluslararasılaşma Politikası: </w:t>
      </w:r>
      <w:r>
        <w:t>Uluslararası standartlar, akademik ve idari personel ile öğrenci hareketliliği, uluslararası bağlantı ve ortaklıklar, kültürlerarası kurumsal yapı ve sürdürülebilir uluslararasılaşma yaklaşımı SKA 4, SKA 10 ve özellikle SKA 17 ile uyumludur.</w:t>
      </w:r>
    </w:p>
    <w:p>
      <w:pPr>
        <w:ind w:left="227"/>
      </w:pPr>
      <w:r>
        <w:rPr>
          <w:b/>
        </w:rPr>
        <w:t xml:space="preserve">Uzaktan Eğitim Politikası: </w:t>
      </w:r>
      <w:r>
        <w:t>Eğitim-öğretimin sürekliliği, uzaktan eğitimin kalite ve etkinliğinin artırılması, öğrenci katılımı, öğretim elemanlarının yetkinliklerinin geliştirilmesi, teknolojik altyapının etkin kullanımı ve öğrenme kaynaklarının sürekli iyileştirilmesi SKA 4 ve SKA 9 ile doğrudan ilişkilidir.</w:t>
      </w:r>
    </w:p>
    <w:p>
      <w:r>
        <w:rPr>
          <w:b/>
          <w:sz w:val="23"/>
        </w:rPr>
        <w:t>4. Genel Değerlendirme</w:t>
      </w:r>
    </w:p>
    <w:p>
      <w:r>
        <w:t>Yapılan eşleştirme, Üniversitenin kurumsal politikalarının sürdürülebilir kalkınmanın ekonomik, sosyal ve çevresel boyutlarıyla çok yönlü bir ilişki kurduğunu göstermektedir. En belirgin kurumsal kesişim alanları nitelikli eğitim, araştırma ve yenilikçilik, sürdürülebilir üretim ve tarım, kapsayıcılık, toplumsal gelişme ve ulusal/uluslararası iş birlikleridir. Özellikle SKA 4, SKA 9 ve SKA 17'nin birden fazla politika alanında karşılık bulması; eğitim, araştırma, yenilikçilik ve ortaklık yaklaşımının kurumsal politika setinde yatay nitelikte ele alındığını göstermektedir.</w:t>
      </w:r>
    </w:p>
    <w:p>
      <w:r>
        <w:t>Bununla birlikte bu çalışma, politikaların SKA'larla uyumunu gösteren bir eşleştirme ve değerlendirme çalışmasıdır; tek başına ilgili SKA hedeflerinin gerçekleştirildiğini veya performans göstergelerinin sağlandığını kanıtlamaz. Kurumsal güvence açısından bir sonraki aşamada politika hedeflerinin somut faaliyet, performans göstergesi, gerçekleşme verisi ve iyileştirme kararlarıyla ilişkilendirilmesi uygun olacaktır.</w:t>
      </w:r>
    </w:p>
    <w:p>
      <w:r>
        <w:rPr>
          <w:b/>
          <w:sz w:val="23"/>
        </w:rPr>
        <w:t>5. Sonuç ve İyileştirme Önerileri</w:t>
      </w:r>
    </w:p>
    <w:p>
      <w:r>
        <w:t>KGTÜ kurumsal politikalarının BM Sürdürülebilir Kalkınma Amaçları ile genel olarak güçlü ve anlamlı bir uyum gösterdiği değerlendirilmiştir. Politika-SKA ilişkisinin görünür ve izlenebilir hâle getirilmesi amacıyla hazırlanan eşleştirme matrisinin kurumsal kalite güvence süreçlerinde referans doküman olarak kullanılması önerilmektedir.</w:t>
      </w:r>
    </w:p>
    <w:p>
      <w:pPr>
        <w:pStyle w:val="ListBullet"/>
      </w:pPr>
      <w:r>
        <w:t>Politikaların yıllık izleme ve değerlendirme çalışmalarında ilgili SKA bağlantılarının da dikkate alınması,</w:t>
      </w:r>
    </w:p>
    <w:p>
      <w:pPr>
        <w:pStyle w:val="ListBullet"/>
      </w:pPr>
      <w:r>
        <w:t>Politika hedeflerinin mümkün olduğunda ölçülebilir performans göstergeleri ve SKA alt hedefleriyle ilişkilendirilmesi,</w:t>
      </w:r>
    </w:p>
    <w:p>
      <w:pPr>
        <w:pStyle w:val="ListBullet"/>
      </w:pPr>
      <w:r>
        <w:t>Gerçekleştirilen faaliyet ve iyileştirmelerin ilgili politika ve SKA bağlantısı belirtilerek kayıt altına alınması,</w:t>
      </w:r>
    </w:p>
    <w:p>
      <w:pPr>
        <w:pStyle w:val="ListBullet"/>
      </w:pPr>
      <w:r>
        <w:t>Politika metinlerinin periyodik gözden geçirilmesinde sürdürülebilirlik, kapsayıcılık, dijital dönüşüm ve iş birliği boyutlarının güncelliğinin değerlendirilmesi</w:t>
      </w:r>
    </w:p>
    <w:p>
      <w:r>
        <w:rPr>
          <w:b/>
          <w:sz w:val="23"/>
        </w:rPr>
        <w:t>6. Dayanak ve Ek</w:t>
      </w:r>
    </w:p>
    <w:p>
      <w:r>
        <w:t>Dayanak: Birleşmiş Milletler, “Transforming our world: the 2030 Agenda for Sustainable Development” (17 Sürdürülebilir Kalkınma Amacı ve 169 alt hedef).</w:t>
      </w:r>
    </w:p>
    <w:p>
      <w:r>
        <w:t>Ek-1: KGTÜ Kurumsal Politikalar–BM SKA Eşleştirme Matrisi.</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KGTÜ | Kurumsal Politikalar–SKA Uyum Değerlendirmesi</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