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F9FF00" w14:textId="77777777" w:rsidR="00293C79" w:rsidRDefault="00000000">
      <w:pPr>
        <w:spacing w:before="80" w:after="100" w:line="240" w:lineRule="auto"/>
      </w:pPr>
      <w:r>
        <w:rPr>
          <w:b/>
          <w:sz w:val="22"/>
        </w:rPr>
        <w:t>ORGANİZASYONDAKİ YERİ</w:t>
      </w:r>
      <w:r>
        <w:rPr>
          <w:sz w:val="22"/>
        </w:rPr>
        <w:t xml:space="preserve"> : Üniversite bünyesinde; düzenleyici işlemlerin hazırlanması, incelenmesi ve güncellenmesine yönelik teknik ve hukuki değerlendirme yapmak üzere görev yapar.</w:t>
      </w:r>
    </w:p>
    <w:p w14:paraId="420FCFAF" w14:textId="77777777" w:rsidR="00293C79" w:rsidRDefault="00000000">
      <w:pPr>
        <w:spacing w:before="80" w:after="100" w:line="240" w:lineRule="auto"/>
      </w:pPr>
      <w:r>
        <w:rPr>
          <w:b/>
          <w:sz w:val="22"/>
        </w:rPr>
        <w:t>GÖREV, YETKİ VE SORUMLULUKLARI</w:t>
      </w:r>
    </w:p>
    <w:p w14:paraId="739F53AC" w14:textId="77777777" w:rsidR="00293C79" w:rsidRDefault="00000000">
      <w:pPr>
        <w:pStyle w:val="ListeMaddemi"/>
        <w:spacing w:after="40" w:line="240" w:lineRule="auto"/>
        <w:ind w:left="397" w:hanging="198"/>
      </w:pPr>
      <w:r>
        <w:t>Üniversitenin ihtiyaçları doğrultusunda yeni yönetmelik, yönerge, usul ve esaslar ile diğer düzenleyici işlem taslaklarını hazırlamak veya hazırlanmasına katkı sağlamak,</w:t>
      </w:r>
    </w:p>
    <w:p w14:paraId="4259EB4A" w14:textId="77777777" w:rsidR="00293C79" w:rsidRDefault="00000000">
      <w:pPr>
        <w:pStyle w:val="ListeMaddemi"/>
        <w:spacing w:after="40" w:line="240" w:lineRule="auto"/>
        <w:ind w:left="397" w:hanging="198"/>
      </w:pPr>
      <w:r>
        <w:t>Akademik ve idari birimler tarafından hazırlanan düzenleme taslaklarını hukuki uygunluk, yetki, görev alanı, sistematik, açıklık ve uygulanabilirlik açısından incelemek,</w:t>
      </w:r>
    </w:p>
    <w:p w14:paraId="0EA44ED3" w14:textId="77777777" w:rsidR="00293C79" w:rsidRDefault="00000000">
      <w:pPr>
        <w:pStyle w:val="ListeMaddemi"/>
        <w:spacing w:after="40" w:line="240" w:lineRule="auto"/>
        <w:ind w:left="397" w:hanging="198"/>
      </w:pPr>
      <w:r>
        <w:t>Üniversite düzenlemelerinin başta kanunlar, Cumhurbaşkanlığı kararnameleri, Yükseköğretim Kurulu düzenlemeleri ve diğer üst mevzuat olmak üzere yürürlükteki mevzuat ile uyumunu değerlendirmek,</w:t>
      </w:r>
    </w:p>
    <w:p w14:paraId="5070BF6E" w14:textId="77777777" w:rsidR="00293C79" w:rsidRDefault="00000000">
      <w:pPr>
        <w:pStyle w:val="ListeMaddemi"/>
        <w:spacing w:after="40" w:line="240" w:lineRule="auto"/>
        <w:ind w:left="397" w:hanging="198"/>
      </w:pPr>
      <w:r>
        <w:t>Mevzuat değişikliklerini takip ederek Üniversite düzenlemelerinde yapılması gereken değişiklikleri belirlemek ve gerekli güncellemelerin gerçekleştirilmesini sağlamak üzere öneri sunmak,</w:t>
      </w:r>
    </w:p>
    <w:p w14:paraId="106CC371" w14:textId="77777777" w:rsidR="00293C79" w:rsidRDefault="00000000">
      <w:pPr>
        <w:pStyle w:val="ListeMaddemi"/>
        <w:spacing w:after="40" w:line="240" w:lineRule="auto"/>
        <w:ind w:left="397" w:hanging="198"/>
      </w:pPr>
      <w:r>
        <w:t>Birbiriyle çelişen, uygulamada tereddüt oluşturan, uygulanabilirliğini yitiren veya güncelliğini kaybeden hükümlerin değiştirilmesi, yeniden düzenlenmesi ya da yürürlükten kaldırılması yönünde çalışma yapmak,</w:t>
      </w:r>
    </w:p>
    <w:p w14:paraId="37928FC8" w14:textId="77777777" w:rsidR="00293C79" w:rsidRDefault="00000000">
      <w:pPr>
        <w:pStyle w:val="ListeMaddemi"/>
        <w:spacing w:after="40" w:line="240" w:lineRule="auto"/>
        <w:ind w:left="397" w:hanging="198"/>
      </w:pPr>
      <w:r>
        <w:t>Üniversite Senatosu, Yönetim Kurulu veya yetkili diğer karar organlarının gündemine sunulacak düzenleme taslaklarını şekil, içerik ve hukuka uygunluk bakımından incelemek,</w:t>
      </w:r>
    </w:p>
    <w:p w14:paraId="0CA2BB4F" w14:textId="77777777" w:rsidR="00293C79" w:rsidRDefault="00000000">
      <w:pPr>
        <w:pStyle w:val="ListeMaddemi"/>
        <w:spacing w:after="40" w:line="240" w:lineRule="auto"/>
        <w:ind w:left="397" w:hanging="198"/>
      </w:pPr>
      <w:r>
        <w:t>Düzenlemelerde terminoloji, kavram, ifade, atıf, madde yapısı ve yazım bakımından Üniversite genelinde birlik ve standardizasyonun sağlanmasına katkıda bulunmak,</w:t>
      </w:r>
    </w:p>
    <w:p w14:paraId="59F87C65" w14:textId="77777777" w:rsidR="00293C79" w:rsidRDefault="00000000">
      <w:pPr>
        <w:pStyle w:val="ListeMaddemi"/>
        <w:spacing w:after="40" w:line="240" w:lineRule="auto"/>
        <w:ind w:left="397" w:hanging="198"/>
      </w:pPr>
      <w:r>
        <w:t>Eğitim-öğretim ve sınav, lisansüstü eğitim, personel süreçleri, araştırma merkezleri ile akademik ve idari süreçlere ilişkin düzenlemeleri görev alanı kapsamında incelemek,</w:t>
      </w:r>
    </w:p>
    <w:p w14:paraId="2CC91F76" w14:textId="77777777" w:rsidR="00293C79" w:rsidRDefault="00000000">
      <w:pPr>
        <w:pStyle w:val="ListeMaddemi"/>
        <w:spacing w:after="40" w:line="240" w:lineRule="auto"/>
        <w:ind w:left="397" w:hanging="198"/>
      </w:pPr>
      <w:r>
        <w:t>Fakülte, enstitü, yüksekokul, meslek yüksekokulu, araştırma ve uygulama merkezleri ile diğer birimlerin hazırladığı yönerge ve benzeri düzenlemelerin Üniversitenin genel mevzuat yapısı ile uyumunu değerlendirmek,</w:t>
      </w:r>
    </w:p>
    <w:p w14:paraId="3AC8B381" w14:textId="77777777" w:rsidR="00293C79" w:rsidRDefault="00000000">
      <w:pPr>
        <w:pStyle w:val="ListeMaddemi"/>
        <w:spacing w:after="40" w:line="240" w:lineRule="auto"/>
        <w:ind w:left="397" w:hanging="198"/>
      </w:pPr>
      <w:r>
        <w:t>Üst yönetimin talebi üzerine Üniversitenin düzenleyici işlemleri ve mevzuat uygulamaları hakkında teknik ve hukuki değerlendirme yapmak,</w:t>
      </w:r>
    </w:p>
    <w:p w14:paraId="409B3A33" w14:textId="77777777" w:rsidR="00293C79" w:rsidRDefault="00000000">
      <w:pPr>
        <w:pStyle w:val="ListeMaddemi"/>
        <w:spacing w:after="40" w:line="240" w:lineRule="auto"/>
        <w:ind w:left="397" w:hanging="198"/>
      </w:pPr>
      <w:r>
        <w:t>Uygulamada tereddüt edilen mevzuat hükümlerine ilişkin görüş oluşturmak; gerektiğinde ilgili birimlerden bilgi, belge veya açıklama talep etmek,</w:t>
      </w:r>
    </w:p>
    <w:p w14:paraId="1E14844E" w14:textId="77777777" w:rsidR="00293C79" w:rsidRDefault="00000000">
      <w:pPr>
        <w:pStyle w:val="ListeMaddemi"/>
        <w:spacing w:after="40" w:line="240" w:lineRule="auto"/>
        <w:ind w:left="397" w:hanging="198"/>
      </w:pPr>
      <w:r>
        <w:t>İnceleme sonucunda gerekli görülen düzeltme, değişiklik veya yeniden düzenleme önerilerini ilgili birime ve/veya yetkili karar organına sunmak.</w:t>
      </w:r>
    </w:p>
    <w:p w14:paraId="14246CA5" w14:textId="77777777" w:rsidR="00293C79" w:rsidRDefault="00000000">
      <w:pPr>
        <w:spacing w:before="80" w:after="100" w:line="240" w:lineRule="auto"/>
      </w:pPr>
      <w:r>
        <w:rPr>
          <w:b/>
          <w:sz w:val="22"/>
        </w:rPr>
        <w:t>ÇALIŞMA ESASLARI</w:t>
      </w:r>
    </w:p>
    <w:p w14:paraId="5468B448" w14:textId="77777777" w:rsidR="00293C79" w:rsidRDefault="00000000">
      <w:pPr>
        <w:pStyle w:val="ListeMaddemi"/>
        <w:spacing w:after="40" w:line="240" w:lineRule="auto"/>
        <w:ind w:left="397" w:hanging="198"/>
      </w:pPr>
      <w:r>
        <w:t>Komisyon, incelemelerini gündeme alınan düzenleme taslağı veya mevzuat konusu üzerinden yürütür.</w:t>
      </w:r>
    </w:p>
    <w:p w14:paraId="4FD90CCA" w14:textId="77777777" w:rsidR="00293C79" w:rsidRDefault="00000000">
      <w:pPr>
        <w:pStyle w:val="ListeMaddemi"/>
        <w:spacing w:after="40" w:line="240" w:lineRule="auto"/>
        <w:ind w:left="397" w:hanging="198"/>
      </w:pPr>
      <w:r>
        <w:t>İncelenen düzenlemenin niteliğine göre ilgili birim amiri veya konuya ilişkin uzmanlık sahibi personel toplantıya davet edilebilir.</w:t>
      </w:r>
    </w:p>
    <w:p w14:paraId="54CC8B08" w14:textId="77777777" w:rsidR="00293C79" w:rsidRDefault="00000000">
      <w:pPr>
        <w:pStyle w:val="ListeMaddemi"/>
        <w:spacing w:after="40" w:line="240" w:lineRule="auto"/>
        <w:ind w:left="397" w:hanging="198"/>
      </w:pPr>
      <w:r>
        <w:t>Komisyon değerlendirmelerinde ilgili üst mevzuat, Üniversitenin mevcut düzenlemeleri, görev-yetki dağılımı ve kurumsal dokümanlar birlikte dikkate alınır.</w:t>
      </w:r>
    </w:p>
    <w:p w14:paraId="45FE9017" w14:textId="77777777" w:rsidR="00293C79" w:rsidRDefault="00000000">
      <w:pPr>
        <w:pStyle w:val="ListeMaddemi"/>
        <w:spacing w:after="40" w:line="240" w:lineRule="auto"/>
        <w:ind w:left="397" w:hanging="198"/>
      </w:pPr>
      <w:r>
        <w:t>Komisyon tarafından uygun bulunan veya revizyon önerisi getirilen metinler, yürürlüğe konulmak üzere yetkili karar organına sunulur.</w:t>
      </w:r>
    </w:p>
    <w:p w14:paraId="51EAA88F" w14:textId="77777777" w:rsidR="00293C79" w:rsidRDefault="00000000">
      <w:pPr>
        <w:pStyle w:val="ListeMaddemi"/>
        <w:spacing w:after="40" w:line="240" w:lineRule="auto"/>
        <w:ind w:left="397" w:hanging="198"/>
      </w:pPr>
      <w:r>
        <w:t>Komisyon karar ve değerlendirmeleri izlenebilirliği sağlayacak şekilde kayıt altına alınır; güncel mevzuatın yayımlanması ve eski sürümlerin kontrolü ilgili süreçler kapsamında takip edilir.</w:t>
      </w:r>
    </w:p>
    <w:sectPr w:rsidR="00293C79" w:rsidSect="00034616">
      <w:headerReference w:type="default" r:id="rId8"/>
      <w:footerReference w:type="default" r:id="rId9"/>
      <w:pgSz w:w="12240" w:h="15840"/>
      <w:pgMar w:top="1361" w:right="1020" w:bottom="1134" w:left="1020" w:header="28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D8F404" w14:textId="77777777" w:rsidR="00AD3178" w:rsidRDefault="00AD3178">
      <w:pPr>
        <w:spacing w:after="0" w:line="240" w:lineRule="auto"/>
      </w:pPr>
      <w:r>
        <w:separator/>
      </w:r>
    </w:p>
  </w:endnote>
  <w:endnote w:type="continuationSeparator" w:id="0">
    <w:p w14:paraId="48A528A0" w14:textId="77777777" w:rsidR="00AD3178" w:rsidRDefault="00AD31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8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3259"/>
      <w:gridCol w:w="3259"/>
      <w:gridCol w:w="3371"/>
    </w:tblGrid>
    <w:tr w:rsidR="002C37F5" w:rsidRPr="00EC4A7D" w14:paraId="63BD1C8C" w14:textId="77777777" w:rsidTr="005D059F">
      <w:tc>
        <w:tcPr>
          <w:tcW w:w="3259" w:type="dxa"/>
        </w:tcPr>
        <w:p w14:paraId="5074CD3C" w14:textId="77777777" w:rsidR="002C37F5" w:rsidRPr="00EC4A7D" w:rsidRDefault="002C37F5" w:rsidP="002C37F5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hAnsi="Times New Roman"/>
              <w:sz w:val="24"/>
              <w:szCs w:val="24"/>
            </w:rPr>
          </w:pPr>
          <w:proofErr w:type="spellStart"/>
          <w:r w:rsidRPr="00EC4A7D">
            <w:rPr>
              <w:rFonts w:ascii="Times New Roman" w:hAnsi="Times New Roman"/>
              <w:sz w:val="24"/>
              <w:szCs w:val="24"/>
            </w:rPr>
            <w:t>Hazırlayan</w:t>
          </w:r>
          <w:proofErr w:type="spellEnd"/>
        </w:p>
      </w:tc>
      <w:tc>
        <w:tcPr>
          <w:tcW w:w="3259" w:type="dxa"/>
        </w:tcPr>
        <w:p w14:paraId="2BF25B21" w14:textId="77777777" w:rsidR="002C37F5" w:rsidRPr="00EC4A7D" w:rsidRDefault="002C37F5" w:rsidP="002C37F5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hAnsi="Times New Roman"/>
              <w:sz w:val="24"/>
              <w:szCs w:val="24"/>
            </w:rPr>
          </w:pPr>
          <w:proofErr w:type="spellStart"/>
          <w:r w:rsidRPr="00EC4A7D">
            <w:rPr>
              <w:rFonts w:ascii="Times New Roman" w:hAnsi="Times New Roman"/>
              <w:sz w:val="24"/>
              <w:szCs w:val="24"/>
            </w:rPr>
            <w:t>Sistem</w:t>
          </w:r>
          <w:proofErr w:type="spellEnd"/>
          <w:r w:rsidRPr="00EC4A7D">
            <w:rPr>
              <w:rFonts w:ascii="Times New Roman" w:hAnsi="Times New Roman"/>
              <w:sz w:val="24"/>
              <w:szCs w:val="24"/>
            </w:rPr>
            <w:t xml:space="preserve"> </w:t>
          </w:r>
          <w:proofErr w:type="spellStart"/>
          <w:r w:rsidRPr="00EC4A7D">
            <w:rPr>
              <w:rFonts w:ascii="Times New Roman" w:hAnsi="Times New Roman"/>
              <w:sz w:val="24"/>
              <w:szCs w:val="24"/>
            </w:rPr>
            <w:t>Onayı</w:t>
          </w:r>
          <w:proofErr w:type="spellEnd"/>
        </w:p>
      </w:tc>
      <w:tc>
        <w:tcPr>
          <w:tcW w:w="3371" w:type="dxa"/>
        </w:tcPr>
        <w:p w14:paraId="0B9EBCC9" w14:textId="77777777" w:rsidR="002C37F5" w:rsidRPr="00EC4A7D" w:rsidRDefault="002C37F5" w:rsidP="002C37F5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hAnsi="Times New Roman"/>
              <w:sz w:val="24"/>
              <w:szCs w:val="24"/>
            </w:rPr>
          </w:pPr>
          <w:proofErr w:type="spellStart"/>
          <w:r w:rsidRPr="00EC4A7D">
            <w:rPr>
              <w:rFonts w:ascii="Times New Roman" w:hAnsi="Times New Roman"/>
              <w:sz w:val="24"/>
              <w:szCs w:val="24"/>
            </w:rPr>
            <w:t>Yürürlük</w:t>
          </w:r>
          <w:proofErr w:type="spellEnd"/>
          <w:r w:rsidRPr="00EC4A7D">
            <w:rPr>
              <w:rFonts w:ascii="Times New Roman" w:hAnsi="Times New Roman"/>
              <w:sz w:val="24"/>
              <w:szCs w:val="24"/>
            </w:rPr>
            <w:t xml:space="preserve"> </w:t>
          </w:r>
          <w:proofErr w:type="spellStart"/>
          <w:r w:rsidRPr="00EC4A7D">
            <w:rPr>
              <w:rFonts w:ascii="Times New Roman" w:hAnsi="Times New Roman"/>
              <w:sz w:val="24"/>
              <w:szCs w:val="24"/>
            </w:rPr>
            <w:t>Onayı</w:t>
          </w:r>
          <w:proofErr w:type="spellEnd"/>
        </w:p>
      </w:tc>
    </w:tr>
    <w:tr w:rsidR="002C37F5" w:rsidRPr="00EC4A7D" w14:paraId="70096DC9" w14:textId="77777777" w:rsidTr="005D059F">
      <w:trPr>
        <w:trHeight w:val="1002"/>
      </w:trPr>
      <w:tc>
        <w:tcPr>
          <w:tcW w:w="3259" w:type="dxa"/>
        </w:tcPr>
        <w:p w14:paraId="68FD032B" w14:textId="77777777" w:rsidR="002C37F5" w:rsidRPr="00EC4A7D" w:rsidRDefault="002C37F5" w:rsidP="002C37F5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hAnsi="Times New Roman"/>
              <w:sz w:val="24"/>
              <w:szCs w:val="24"/>
            </w:rPr>
          </w:pPr>
          <w:r w:rsidRPr="00EC4A7D">
            <w:rPr>
              <w:rFonts w:ascii="Times New Roman" w:hAnsi="Times New Roman"/>
              <w:sz w:val="24"/>
              <w:szCs w:val="24"/>
            </w:rPr>
            <w:t>Kalite Koordinatörlüğü</w:t>
          </w:r>
        </w:p>
      </w:tc>
      <w:tc>
        <w:tcPr>
          <w:tcW w:w="3259" w:type="dxa"/>
        </w:tcPr>
        <w:p w14:paraId="4D6F806E" w14:textId="77777777" w:rsidR="002C37F5" w:rsidRPr="00EC4A7D" w:rsidRDefault="002C37F5" w:rsidP="002C37F5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hAnsi="Times New Roman"/>
              <w:sz w:val="24"/>
              <w:szCs w:val="24"/>
            </w:rPr>
          </w:pPr>
          <w:r w:rsidRPr="00EC4A7D">
            <w:rPr>
              <w:rFonts w:ascii="Times New Roman" w:hAnsi="Times New Roman"/>
              <w:sz w:val="24"/>
              <w:szCs w:val="24"/>
            </w:rPr>
            <w:t>Selin TOZOĞLU</w:t>
          </w:r>
        </w:p>
      </w:tc>
      <w:tc>
        <w:tcPr>
          <w:tcW w:w="3371" w:type="dxa"/>
        </w:tcPr>
        <w:p w14:paraId="499EE6CF" w14:textId="77777777" w:rsidR="002C37F5" w:rsidRPr="00EC4A7D" w:rsidRDefault="002C37F5" w:rsidP="002C37F5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hAnsi="Times New Roman"/>
              <w:sz w:val="24"/>
              <w:szCs w:val="24"/>
            </w:rPr>
          </w:pPr>
          <w:proofErr w:type="spellStart"/>
          <w:r w:rsidRPr="00EC4A7D">
            <w:rPr>
              <w:rFonts w:ascii="Times New Roman" w:hAnsi="Times New Roman"/>
              <w:sz w:val="24"/>
              <w:szCs w:val="24"/>
            </w:rPr>
            <w:t>Öğr</w:t>
          </w:r>
          <w:proofErr w:type="spellEnd"/>
          <w:r w:rsidRPr="00EC4A7D">
            <w:rPr>
              <w:rFonts w:ascii="Times New Roman" w:hAnsi="Times New Roman"/>
              <w:sz w:val="24"/>
              <w:szCs w:val="24"/>
            </w:rPr>
            <w:t xml:space="preserve">. </w:t>
          </w:r>
          <w:proofErr w:type="spellStart"/>
          <w:r w:rsidRPr="00EC4A7D">
            <w:rPr>
              <w:rFonts w:ascii="Times New Roman" w:hAnsi="Times New Roman"/>
              <w:sz w:val="24"/>
              <w:szCs w:val="24"/>
            </w:rPr>
            <w:t>Gör</w:t>
          </w:r>
          <w:proofErr w:type="spellEnd"/>
          <w:r w:rsidRPr="00EC4A7D">
            <w:rPr>
              <w:rFonts w:ascii="Times New Roman" w:hAnsi="Times New Roman"/>
              <w:sz w:val="24"/>
              <w:szCs w:val="24"/>
            </w:rPr>
            <w:t>. Cankat ÖZLÜ</w:t>
          </w:r>
        </w:p>
      </w:tc>
    </w:tr>
  </w:tbl>
  <w:p w14:paraId="148FBADB" w14:textId="77777777" w:rsidR="002C37F5" w:rsidRDefault="002C37F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8808EE" w14:textId="77777777" w:rsidR="00AD3178" w:rsidRDefault="00AD3178">
      <w:pPr>
        <w:spacing w:after="0" w:line="240" w:lineRule="auto"/>
      </w:pPr>
      <w:r>
        <w:separator/>
      </w:r>
    </w:p>
  </w:footnote>
  <w:footnote w:type="continuationSeparator" w:id="0">
    <w:p w14:paraId="09FC1D3A" w14:textId="77777777" w:rsidR="00AD3178" w:rsidRDefault="00AD31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509CA" w14:textId="77777777" w:rsidR="00293C79" w:rsidRDefault="00293C79">
    <w:pPr>
      <w:pStyle w:val="stBilgi"/>
    </w:pPr>
  </w:p>
  <w:tbl>
    <w:tblPr>
      <w:tblW w:w="0" w:type="auto"/>
      <w:jc w:val="center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Look w:val="04A0" w:firstRow="1" w:lastRow="0" w:firstColumn="1" w:lastColumn="0" w:noHBand="0" w:noVBand="1"/>
    </w:tblPr>
    <w:tblGrid>
      <w:gridCol w:w="1587"/>
      <w:gridCol w:w="4989"/>
      <w:gridCol w:w="1531"/>
      <w:gridCol w:w="1757"/>
    </w:tblGrid>
    <w:tr w:rsidR="00293C79" w14:paraId="30FD60D5" w14:textId="77777777">
      <w:trPr>
        <w:jc w:val="center"/>
      </w:trPr>
      <w:tc>
        <w:tcPr>
          <w:tcW w:w="1587" w:type="dxa"/>
          <w:vMerge w:val="restart"/>
          <w:vAlign w:val="center"/>
        </w:tcPr>
        <w:p w14:paraId="065555EA" w14:textId="77777777" w:rsidR="00293C79" w:rsidRDefault="00000000">
          <w:pPr>
            <w:jc w:val="center"/>
          </w:pPr>
          <w:r>
            <w:rPr>
              <w:noProof/>
            </w:rPr>
            <w:drawing>
              <wp:inline distT="0" distB="0" distL="0" distR="0" wp14:anchorId="4EE8285F" wp14:editId="3B61A83E">
                <wp:extent cx="774000" cy="111206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4000" cy="111206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89" w:type="dxa"/>
          <w:vMerge w:val="restart"/>
          <w:tcMar>
            <w:top w:w="60" w:type="dxa"/>
            <w:left w:w="60" w:type="dxa"/>
            <w:bottom w:w="60" w:type="dxa"/>
            <w:right w:w="60" w:type="dxa"/>
          </w:tcMar>
          <w:vAlign w:val="center"/>
        </w:tcPr>
        <w:p w14:paraId="12CDA915" w14:textId="77777777" w:rsidR="00293C79" w:rsidRDefault="00000000">
          <w:pPr>
            <w:spacing w:after="0"/>
            <w:jc w:val="center"/>
          </w:pPr>
          <w:r>
            <w:rPr>
              <w:b/>
              <w:sz w:val="28"/>
            </w:rPr>
            <w:t>MEVZUAT KOMİSYONU</w:t>
          </w:r>
          <w:r>
            <w:rPr>
              <w:b/>
              <w:sz w:val="28"/>
            </w:rPr>
            <w:br/>
            <w:t>GÖREV TANIMI</w:t>
          </w:r>
        </w:p>
      </w:tc>
      <w:tc>
        <w:tcPr>
          <w:tcW w:w="1531" w:type="dxa"/>
          <w:tcMar>
            <w:top w:w="60" w:type="dxa"/>
            <w:left w:w="60" w:type="dxa"/>
            <w:bottom w:w="60" w:type="dxa"/>
            <w:right w:w="60" w:type="dxa"/>
          </w:tcMar>
          <w:vAlign w:val="center"/>
        </w:tcPr>
        <w:p w14:paraId="76DC5182" w14:textId="77777777" w:rsidR="00293C79" w:rsidRDefault="00000000">
          <w:pPr>
            <w:spacing w:after="0"/>
          </w:pPr>
          <w:proofErr w:type="spellStart"/>
          <w:r>
            <w:rPr>
              <w:sz w:val="19"/>
            </w:rPr>
            <w:t>Doküman</w:t>
          </w:r>
          <w:proofErr w:type="spellEnd"/>
          <w:r>
            <w:rPr>
              <w:sz w:val="19"/>
            </w:rPr>
            <w:t xml:space="preserve"> No</w:t>
          </w:r>
        </w:p>
      </w:tc>
      <w:tc>
        <w:tcPr>
          <w:tcW w:w="1757" w:type="dxa"/>
          <w:tcMar>
            <w:top w:w="60" w:type="dxa"/>
            <w:left w:w="60" w:type="dxa"/>
            <w:bottom w:w="60" w:type="dxa"/>
            <w:right w:w="60" w:type="dxa"/>
          </w:tcMar>
          <w:vAlign w:val="center"/>
        </w:tcPr>
        <w:p w14:paraId="7D2FE1FB" w14:textId="70A391B8" w:rsidR="00293C79" w:rsidRDefault="00000000">
          <w:pPr>
            <w:spacing w:after="0"/>
          </w:pPr>
          <w:r>
            <w:rPr>
              <w:b/>
              <w:sz w:val="19"/>
            </w:rPr>
            <w:t>GT-</w:t>
          </w:r>
          <w:r w:rsidR="002C37F5">
            <w:rPr>
              <w:b/>
              <w:sz w:val="19"/>
            </w:rPr>
            <w:t>0037</w:t>
          </w:r>
        </w:p>
      </w:tc>
    </w:tr>
    <w:tr w:rsidR="00293C79" w14:paraId="318EA7FB" w14:textId="77777777">
      <w:trPr>
        <w:jc w:val="center"/>
      </w:trPr>
      <w:tc>
        <w:tcPr>
          <w:tcW w:w="1587" w:type="dxa"/>
          <w:vMerge/>
        </w:tcPr>
        <w:p w14:paraId="03788E98" w14:textId="77777777" w:rsidR="00293C79" w:rsidRDefault="00293C79"/>
      </w:tc>
      <w:tc>
        <w:tcPr>
          <w:tcW w:w="4989" w:type="dxa"/>
          <w:vMerge/>
        </w:tcPr>
        <w:p w14:paraId="43030E12" w14:textId="77777777" w:rsidR="00293C79" w:rsidRDefault="00293C79"/>
      </w:tc>
      <w:tc>
        <w:tcPr>
          <w:tcW w:w="1531" w:type="dxa"/>
          <w:tcMar>
            <w:top w:w="60" w:type="dxa"/>
            <w:left w:w="60" w:type="dxa"/>
            <w:bottom w:w="60" w:type="dxa"/>
            <w:right w:w="60" w:type="dxa"/>
          </w:tcMar>
          <w:vAlign w:val="center"/>
        </w:tcPr>
        <w:p w14:paraId="673FB2DC" w14:textId="77777777" w:rsidR="00293C79" w:rsidRDefault="00000000">
          <w:pPr>
            <w:spacing w:after="0"/>
          </w:pPr>
          <w:r>
            <w:rPr>
              <w:sz w:val="19"/>
            </w:rPr>
            <w:t xml:space="preserve">İlk </w:t>
          </w:r>
          <w:proofErr w:type="spellStart"/>
          <w:r>
            <w:rPr>
              <w:sz w:val="19"/>
            </w:rPr>
            <w:t>Yayın</w:t>
          </w:r>
          <w:proofErr w:type="spellEnd"/>
          <w:r>
            <w:rPr>
              <w:sz w:val="19"/>
            </w:rPr>
            <w:t xml:space="preserve"> </w:t>
          </w:r>
          <w:proofErr w:type="spellStart"/>
          <w:r>
            <w:rPr>
              <w:sz w:val="19"/>
            </w:rPr>
            <w:t>Tarihi</w:t>
          </w:r>
          <w:proofErr w:type="spellEnd"/>
        </w:p>
      </w:tc>
      <w:tc>
        <w:tcPr>
          <w:tcW w:w="1757" w:type="dxa"/>
          <w:tcMar>
            <w:top w:w="60" w:type="dxa"/>
            <w:left w:w="60" w:type="dxa"/>
            <w:bottom w:w="60" w:type="dxa"/>
            <w:right w:w="60" w:type="dxa"/>
          </w:tcMar>
          <w:vAlign w:val="center"/>
        </w:tcPr>
        <w:p w14:paraId="11BD9876" w14:textId="77777777" w:rsidR="00293C79" w:rsidRDefault="00000000">
          <w:pPr>
            <w:spacing w:after="0"/>
          </w:pPr>
          <w:r>
            <w:rPr>
              <w:b/>
              <w:sz w:val="19"/>
            </w:rPr>
            <w:t>21.09.2026</w:t>
          </w:r>
        </w:p>
      </w:tc>
    </w:tr>
    <w:tr w:rsidR="00293C79" w14:paraId="303D0972" w14:textId="77777777">
      <w:trPr>
        <w:jc w:val="center"/>
      </w:trPr>
      <w:tc>
        <w:tcPr>
          <w:tcW w:w="1587" w:type="dxa"/>
          <w:vMerge/>
        </w:tcPr>
        <w:p w14:paraId="48CF1C1A" w14:textId="77777777" w:rsidR="00293C79" w:rsidRDefault="00293C79"/>
      </w:tc>
      <w:tc>
        <w:tcPr>
          <w:tcW w:w="4989" w:type="dxa"/>
          <w:vMerge/>
        </w:tcPr>
        <w:p w14:paraId="4C75FC11" w14:textId="77777777" w:rsidR="00293C79" w:rsidRDefault="00293C79"/>
      </w:tc>
      <w:tc>
        <w:tcPr>
          <w:tcW w:w="1531" w:type="dxa"/>
          <w:tcMar>
            <w:top w:w="60" w:type="dxa"/>
            <w:left w:w="60" w:type="dxa"/>
            <w:bottom w:w="60" w:type="dxa"/>
            <w:right w:w="60" w:type="dxa"/>
          </w:tcMar>
          <w:vAlign w:val="center"/>
        </w:tcPr>
        <w:p w14:paraId="65540438" w14:textId="77777777" w:rsidR="00293C79" w:rsidRDefault="00000000">
          <w:pPr>
            <w:spacing w:after="0"/>
          </w:pPr>
          <w:proofErr w:type="spellStart"/>
          <w:r>
            <w:rPr>
              <w:sz w:val="19"/>
            </w:rPr>
            <w:t>Revizyon</w:t>
          </w:r>
          <w:proofErr w:type="spellEnd"/>
          <w:r>
            <w:rPr>
              <w:sz w:val="19"/>
            </w:rPr>
            <w:t xml:space="preserve"> </w:t>
          </w:r>
          <w:proofErr w:type="spellStart"/>
          <w:r>
            <w:rPr>
              <w:sz w:val="19"/>
            </w:rPr>
            <w:t>Tarihi</w:t>
          </w:r>
          <w:proofErr w:type="spellEnd"/>
        </w:p>
      </w:tc>
      <w:tc>
        <w:tcPr>
          <w:tcW w:w="1757" w:type="dxa"/>
          <w:tcMar>
            <w:top w:w="60" w:type="dxa"/>
            <w:left w:w="60" w:type="dxa"/>
            <w:bottom w:w="60" w:type="dxa"/>
            <w:right w:w="60" w:type="dxa"/>
          </w:tcMar>
          <w:vAlign w:val="center"/>
        </w:tcPr>
        <w:p w14:paraId="6332D5B2" w14:textId="77777777" w:rsidR="00293C79" w:rsidRDefault="00293C79">
          <w:pPr>
            <w:spacing w:after="0"/>
          </w:pPr>
        </w:p>
      </w:tc>
    </w:tr>
    <w:tr w:rsidR="00293C79" w14:paraId="7763680C" w14:textId="77777777">
      <w:trPr>
        <w:jc w:val="center"/>
      </w:trPr>
      <w:tc>
        <w:tcPr>
          <w:tcW w:w="1587" w:type="dxa"/>
          <w:vMerge/>
        </w:tcPr>
        <w:p w14:paraId="30A036F4" w14:textId="77777777" w:rsidR="00293C79" w:rsidRDefault="00293C79"/>
      </w:tc>
      <w:tc>
        <w:tcPr>
          <w:tcW w:w="4989" w:type="dxa"/>
          <w:vMerge/>
        </w:tcPr>
        <w:p w14:paraId="0D68EEA2" w14:textId="77777777" w:rsidR="00293C79" w:rsidRDefault="00293C79"/>
      </w:tc>
      <w:tc>
        <w:tcPr>
          <w:tcW w:w="1531" w:type="dxa"/>
          <w:tcMar>
            <w:top w:w="60" w:type="dxa"/>
            <w:left w:w="60" w:type="dxa"/>
            <w:bottom w:w="60" w:type="dxa"/>
            <w:right w:w="60" w:type="dxa"/>
          </w:tcMar>
          <w:vAlign w:val="center"/>
        </w:tcPr>
        <w:p w14:paraId="0D9774FA" w14:textId="77777777" w:rsidR="00293C79" w:rsidRDefault="00000000">
          <w:pPr>
            <w:spacing w:after="0"/>
          </w:pPr>
          <w:proofErr w:type="spellStart"/>
          <w:r>
            <w:rPr>
              <w:sz w:val="19"/>
            </w:rPr>
            <w:t>Revizyon</w:t>
          </w:r>
          <w:proofErr w:type="spellEnd"/>
          <w:r>
            <w:rPr>
              <w:sz w:val="19"/>
            </w:rPr>
            <w:t xml:space="preserve"> No</w:t>
          </w:r>
        </w:p>
      </w:tc>
      <w:tc>
        <w:tcPr>
          <w:tcW w:w="1757" w:type="dxa"/>
          <w:tcMar>
            <w:top w:w="60" w:type="dxa"/>
            <w:left w:w="60" w:type="dxa"/>
            <w:bottom w:w="60" w:type="dxa"/>
            <w:right w:w="60" w:type="dxa"/>
          </w:tcMar>
          <w:vAlign w:val="center"/>
        </w:tcPr>
        <w:p w14:paraId="066F502C" w14:textId="77777777" w:rsidR="00293C79" w:rsidRDefault="00293C79">
          <w:pPr>
            <w:spacing w:after="0"/>
          </w:pPr>
        </w:p>
      </w:tc>
    </w:tr>
    <w:tr w:rsidR="00293C79" w14:paraId="7ED23186" w14:textId="77777777">
      <w:trPr>
        <w:jc w:val="center"/>
      </w:trPr>
      <w:tc>
        <w:tcPr>
          <w:tcW w:w="1587" w:type="dxa"/>
          <w:vMerge/>
        </w:tcPr>
        <w:p w14:paraId="3B9B79D0" w14:textId="77777777" w:rsidR="00293C79" w:rsidRDefault="00293C79"/>
      </w:tc>
      <w:tc>
        <w:tcPr>
          <w:tcW w:w="4989" w:type="dxa"/>
          <w:vMerge/>
        </w:tcPr>
        <w:p w14:paraId="569CF827" w14:textId="77777777" w:rsidR="00293C79" w:rsidRDefault="00293C79"/>
      </w:tc>
      <w:tc>
        <w:tcPr>
          <w:tcW w:w="1531" w:type="dxa"/>
          <w:tcMar>
            <w:top w:w="60" w:type="dxa"/>
            <w:left w:w="60" w:type="dxa"/>
            <w:bottom w:w="60" w:type="dxa"/>
            <w:right w:w="60" w:type="dxa"/>
          </w:tcMar>
          <w:vAlign w:val="center"/>
        </w:tcPr>
        <w:p w14:paraId="5EE8D6F8" w14:textId="77777777" w:rsidR="00293C79" w:rsidRDefault="00000000">
          <w:pPr>
            <w:spacing w:after="0"/>
          </w:pPr>
          <w:proofErr w:type="spellStart"/>
          <w:r>
            <w:rPr>
              <w:sz w:val="19"/>
            </w:rPr>
            <w:t>Sayfa</w:t>
          </w:r>
          <w:proofErr w:type="spellEnd"/>
        </w:p>
      </w:tc>
      <w:tc>
        <w:tcPr>
          <w:tcW w:w="1757" w:type="dxa"/>
          <w:tcMar>
            <w:top w:w="60" w:type="dxa"/>
            <w:left w:w="60" w:type="dxa"/>
            <w:bottom w:w="60" w:type="dxa"/>
            <w:right w:w="60" w:type="dxa"/>
          </w:tcMar>
          <w:vAlign w:val="center"/>
        </w:tcPr>
        <w:p w14:paraId="258BCA07" w14:textId="77777777" w:rsidR="00293C79" w:rsidRDefault="00000000">
          <w:pPr>
            <w:jc w:val="center"/>
          </w:pPr>
          <w:r>
            <w:fldChar w:fldCharType="begin"/>
          </w:r>
          <w:r>
            <w:instrText>PAGE</w:instrText>
          </w:r>
          <w:r>
            <w:fldChar w:fldCharType="separate"/>
          </w:r>
          <w:r w:rsidR="007E248A">
            <w:rPr>
              <w:noProof/>
            </w:rPr>
            <w:t>1</w:t>
          </w:r>
          <w:r>
            <w:fldChar w:fldCharType="end"/>
          </w:r>
          <w:r>
            <w:rPr>
              <w:b/>
              <w:sz w:val="19"/>
            </w:rPr>
            <w:t xml:space="preserve"> / </w:t>
          </w:r>
          <w:r>
            <w:fldChar w:fldCharType="begin"/>
          </w:r>
          <w:r>
            <w:instrText>NUMPAGES</w:instrText>
          </w:r>
          <w:r>
            <w:fldChar w:fldCharType="separate"/>
          </w:r>
          <w:r w:rsidR="007E248A">
            <w:rPr>
              <w:noProof/>
            </w:rPr>
            <w:t>2</w:t>
          </w:r>
          <w:r>
            <w:fldChar w:fldCharType="end"/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37513015">
    <w:abstractNumId w:val="8"/>
  </w:num>
  <w:num w:numId="2" w16cid:durableId="874971420">
    <w:abstractNumId w:val="6"/>
  </w:num>
  <w:num w:numId="3" w16cid:durableId="1254124434">
    <w:abstractNumId w:val="5"/>
  </w:num>
  <w:num w:numId="4" w16cid:durableId="1708144769">
    <w:abstractNumId w:val="4"/>
  </w:num>
  <w:num w:numId="5" w16cid:durableId="257064329">
    <w:abstractNumId w:val="7"/>
  </w:num>
  <w:num w:numId="6" w16cid:durableId="1930045638">
    <w:abstractNumId w:val="3"/>
  </w:num>
  <w:num w:numId="7" w16cid:durableId="2025786153">
    <w:abstractNumId w:val="2"/>
  </w:num>
  <w:num w:numId="8" w16cid:durableId="1906793990">
    <w:abstractNumId w:val="1"/>
  </w:num>
  <w:num w:numId="9" w16cid:durableId="13313709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3C79"/>
    <w:rsid w:val="0029639D"/>
    <w:rsid w:val="002C37F5"/>
    <w:rsid w:val="00326F90"/>
    <w:rsid w:val="003F02B3"/>
    <w:rsid w:val="004054D7"/>
    <w:rsid w:val="007E248A"/>
    <w:rsid w:val="008C3EDD"/>
    <w:rsid w:val="00AA1D8D"/>
    <w:rsid w:val="00AD3178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D6ED1B"/>
  <w14:defaultImageDpi w14:val="300"/>
  <w15:docId w15:val="{5D51FC2D-4C08-8547-8C26-233E817B0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449</Words>
  <Characters>2562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Mevzuat Komisyonu Görev Tanımı</dc:title>
  <dc:subject>Konya Gıda ve Tarım Üniversitesi Mevzuat Komisyonu görev, yetki ve sorumlulukları</dc:subject>
  <dc:creator>Konya Gıda ve Tarım Üniversitesi</dc:creator>
  <cp:keywords/>
  <dc:description>generated by python-docx</dc:description>
  <cp:lastModifiedBy>Selin Tozoglu</cp:lastModifiedBy>
  <cp:revision>3</cp:revision>
  <dcterms:created xsi:type="dcterms:W3CDTF">2013-12-23T23:15:00Z</dcterms:created>
  <dcterms:modified xsi:type="dcterms:W3CDTF">2026-09-21T14:11:00Z</dcterms:modified>
  <cp:category/>
</cp:coreProperties>
</file>